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173A" w14:textId="707E347D" w:rsidR="00B56B87" w:rsidRPr="00773097" w:rsidRDefault="00B223F2" w:rsidP="006067AD">
      <w:pPr>
        <w:pStyle w:val="Listeafsnit"/>
        <w:spacing w:after="0" w:line="280" w:lineRule="exact"/>
        <w:ind w:left="0"/>
        <w:rPr>
          <w:b/>
          <w:sz w:val="22"/>
        </w:rPr>
      </w:pPr>
      <w:r w:rsidRPr="00773097">
        <w:rPr>
          <w:b/>
          <w:sz w:val="22"/>
        </w:rPr>
        <w:t xml:space="preserve">Økonomivejledning vedr. </w:t>
      </w:r>
      <w:r w:rsidR="006558AB" w:rsidRPr="00773097">
        <w:rPr>
          <w:b/>
          <w:sz w:val="22"/>
        </w:rPr>
        <w:t>indsats med udarbejdelse af kliniske retningslinjer på kræftområdet</w:t>
      </w:r>
      <w:r w:rsidR="008D24A1" w:rsidRPr="00773097">
        <w:rPr>
          <w:b/>
          <w:sz w:val="22"/>
        </w:rPr>
        <w:br/>
      </w:r>
    </w:p>
    <w:p w14:paraId="6EC6CDDB" w14:textId="77777777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61491D">
        <w:rPr>
          <w:szCs w:val="20"/>
        </w:rPr>
        <w:t>Den faglige indsats med kliniske retningslinjer tilrettelægges af DMCG-styregrupperne.</w:t>
      </w:r>
    </w:p>
    <w:p w14:paraId="77484EFC" w14:textId="4ECB75CF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61491D">
        <w:rPr>
          <w:szCs w:val="20"/>
        </w:rPr>
        <w:t xml:space="preserve">Hver DMCG-styregruppe har budget </w:t>
      </w:r>
      <w:r w:rsidR="00747F82" w:rsidRPr="0061491D">
        <w:rPr>
          <w:szCs w:val="20"/>
        </w:rPr>
        <w:t xml:space="preserve">til </w:t>
      </w:r>
      <w:r w:rsidRPr="0061491D">
        <w:rPr>
          <w:szCs w:val="20"/>
        </w:rPr>
        <w:t xml:space="preserve">udvikling og løbende vedligeholdelse af retningslinjer. </w:t>
      </w:r>
      <w:r w:rsidR="009A5856">
        <w:rPr>
          <w:szCs w:val="20"/>
        </w:rPr>
        <w:br/>
        <w:t xml:space="preserve">Budgetoversigt for retningslinjearbejdet sendes fra </w:t>
      </w:r>
      <w:r w:rsidR="00580E1E">
        <w:rPr>
          <w:szCs w:val="20"/>
        </w:rPr>
        <w:t>Sundhedsvæsenets Kvalitetsinstitut (SundK)</w:t>
      </w:r>
      <w:r w:rsidR="009A5856">
        <w:rPr>
          <w:szCs w:val="20"/>
        </w:rPr>
        <w:t xml:space="preserve"> til alle DMCG-formænd sammen med DMCG-budgettet</w:t>
      </w:r>
      <w:r w:rsidR="00F4412B">
        <w:rPr>
          <w:szCs w:val="20"/>
        </w:rPr>
        <w:t xml:space="preserve">; </w:t>
      </w:r>
      <w:r w:rsidR="009A5856">
        <w:rPr>
          <w:szCs w:val="20"/>
        </w:rPr>
        <w:t>desuden sendes til formænd en opgørelse hvert kvartal.</w:t>
      </w:r>
    </w:p>
    <w:p w14:paraId="2C0B0FEF" w14:textId="77777777" w:rsidR="006558AB" w:rsidRPr="0061491D" w:rsidRDefault="006558AB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3F6F1D5D" w14:textId="08FCD3E0" w:rsidR="006558AB" w:rsidRPr="00FA38CD" w:rsidRDefault="009A5856" w:rsidP="005516B5">
      <w:pPr>
        <w:pStyle w:val="Default"/>
        <w:rPr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Budgettet</w:t>
      </w:r>
      <w:r w:rsidR="006558AB" w:rsidRPr="0061491D">
        <w:rPr>
          <w:rFonts w:asciiTheme="minorHAnsi" w:hAnsiTheme="minorHAnsi"/>
          <w:sz w:val="20"/>
          <w:szCs w:val="20"/>
        </w:rPr>
        <w:t xml:space="preserve"> kan fordeles til sikring af arbejdet på retningslinjer inden for </w:t>
      </w:r>
      <w:proofErr w:type="spellStart"/>
      <w:r w:rsidR="006558AB" w:rsidRPr="0061491D">
        <w:rPr>
          <w:rFonts w:asciiTheme="minorHAnsi" w:hAnsiTheme="minorHAnsi"/>
          <w:sz w:val="20"/>
          <w:szCs w:val="20"/>
        </w:rPr>
        <w:t>DMCG'ens</w:t>
      </w:r>
      <w:proofErr w:type="spellEnd"/>
      <w:r w:rsidR="006558AB" w:rsidRPr="0061491D">
        <w:rPr>
          <w:rFonts w:asciiTheme="minorHAnsi" w:hAnsiTheme="minorHAnsi"/>
          <w:sz w:val="20"/>
          <w:szCs w:val="20"/>
        </w:rPr>
        <w:t xml:space="preserve"> felt</w:t>
      </w:r>
      <w:r w:rsidR="005516B5" w:rsidRPr="0061491D">
        <w:rPr>
          <w:rFonts w:asciiTheme="minorHAnsi" w:hAnsiTheme="minorHAnsi"/>
          <w:sz w:val="20"/>
          <w:szCs w:val="20"/>
        </w:rPr>
        <w:t xml:space="preserve"> og kan anvendes til 1) fagligt frikøb, 2) møder</w:t>
      </w:r>
      <w:r w:rsidR="00C72FC7">
        <w:rPr>
          <w:rFonts w:asciiTheme="minorHAnsi" w:hAnsiTheme="minorHAnsi"/>
          <w:sz w:val="20"/>
          <w:szCs w:val="20"/>
        </w:rPr>
        <w:t>/internater</w:t>
      </w:r>
      <w:r w:rsidR="005516B5" w:rsidRPr="0061491D">
        <w:rPr>
          <w:rFonts w:asciiTheme="minorHAnsi" w:hAnsiTheme="minorHAnsi"/>
          <w:sz w:val="20"/>
          <w:szCs w:val="20"/>
        </w:rPr>
        <w:t xml:space="preserve"> og 3) transport.</w:t>
      </w:r>
    </w:p>
    <w:p w14:paraId="24C654F3" w14:textId="77777777" w:rsidR="006558AB" w:rsidRPr="002043BE" w:rsidRDefault="006558AB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7B5B1C9" w14:textId="44596AFD" w:rsidR="006558AB" w:rsidRPr="00FA38CD" w:rsidRDefault="006558AB" w:rsidP="006067AD">
      <w:pPr>
        <w:pStyle w:val="Listeafsnit"/>
        <w:spacing w:after="0" w:line="280" w:lineRule="exact"/>
        <w:ind w:left="0"/>
        <w:rPr>
          <w:szCs w:val="20"/>
        </w:rPr>
      </w:pPr>
      <w:r w:rsidRPr="00FA38CD">
        <w:rPr>
          <w:szCs w:val="20"/>
        </w:rPr>
        <w:t>Inden iværksættelse af arbejdet aftales</w:t>
      </w:r>
      <w:r w:rsidR="005516B5" w:rsidRPr="00FA38CD">
        <w:rPr>
          <w:szCs w:val="20"/>
        </w:rPr>
        <w:t xml:space="preserve"> internt</w:t>
      </w:r>
      <w:r w:rsidR="006376E7" w:rsidRPr="00FA38CD">
        <w:rPr>
          <w:szCs w:val="20"/>
        </w:rPr>
        <w:t xml:space="preserve"> i DMCG</w:t>
      </w:r>
      <w:r w:rsidR="00747F82" w:rsidRPr="00FA38CD">
        <w:rPr>
          <w:szCs w:val="20"/>
        </w:rPr>
        <w:t>'</w:t>
      </w:r>
      <w:r w:rsidR="006376E7" w:rsidRPr="00FA38CD">
        <w:rPr>
          <w:szCs w:val="20"/>
        </w:rPr>
        <w:t>en</w:t>
      </w:r>
      <w:r w:rsidR="00A43DF1">
        <w:rPr>
          <w:szCs w:val="20"/>
        </w:rPr>
        <w:t xml:space="preserve"> hvem</w:t>
      </w:r>
      <w:r w:rsidRPr="00FA38CD">
        <w:rPr>
          <w:szCs w:val="20"/>
        </w:rPr>
        <w:t xml:space="preserve"> der varetager </w:t>
      </w:r>
      <w:r w:rsidR="005516B5" w:rsidRPr="00FA38CD">
        <w:rPr>
          <w:szCs w:val="20"/>
        </w:rPr>
        <w:t>hvilke opgaver, og hvordan midlerne fordeles på de respektive poster og personer</w:t>
      </w:r>
      <w:r w:rsidR="000969F0" w:rsidRPr="00FA38CD">
        <w:rPr>
          <w:szCs w:val="20"/>
        </w:rPr>
        <w:t>, f.eks. som foreslået i boksen herunder</w:t>
      </w:r>
      <w:r w:rsidR="005516B5" w:rsidRPr="00FA38CD">
        <w:rPr>
          <w:szCs w:val="20"/>
        </w:rPr>
        <w:t xml:space="preserve">. </w:t>
      </w:r>
    </w:p>
    <w:p w14:paraId="40725F1C" w14:textId="77777777" w:rsidR="000969F0" w:rsidRPr="002043BE" w:rsidRDefault="000969F0" w:rsidP="006067AD">
      <w:pPr>
        <w:pStyle w:val="Listeafsnit"/>
        <w:spacing w:after="0" w:line="280" w:lineRule="exact"/>
        <w:ind w:left="0"/>
        <w:rPr>
          <w:szCs w:val="20"/>
        </w:rPr>
      </w:pPr>
      <w:r w:rsidRPr="002043BE">
        <w:rPr>
          <w:noProof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27C4" wp14:editId="52263B21">
                <wp:simplePos x="0" y="0"/>
                <wp:positionH relativeFrom="column">
                  <wp:posOffset>3810</wp:posOffset>
                </wp:positionH>
                <wp:positionV relativeFrom="paragraph">
                  <wp:posOffset>81280</wp:posOffset>
                </wp:positionV>
                <wp:extent cx="6057900" cy="153352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88D54" w14:textId="77777777" w:rsidR="000969F0" w:rsidRDefault="000969F0" w:rsidP="000969F0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  <w:lang w:eastAsia="da-DK"/>
                              </w:rPr>
                              <w:t xml:space="preserve">Sekretariatet anbefaler </w:t>
                            </w:r>
                            <w:r>
                              <w:rPr>
                                <w:u w:val="single"/>
                              </w:rPr>
                              <w:t>følgende proces for fordeling af midler</w:t>
                            </w:r>
                          </w:p>
                          <w:p w14:paraId="017299B3" w14:textId="48C5C3C8" w:rsidR="000969F0" w:rsidRDefault="000969F0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Forventede udgifter til møder og transport i forbindelse med retningslinjeindsatsen i budgetåret fratrækkes budgetsummen</w:t>
                            </w:r>
                          </w:p>
                          <w:p w14:paraId="247F14C3" w14:textId="15E773E9" w:rsidR="000969F0" w:rsidRDefault="008D24A1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Rest</w:t>
                            </w:r>
                            <w:r w:rsidR="000969F0">
                              <w:t xml:space="preserve">beløbet fordeles på det forventede antal </w:t>
                            </w:r>
                            <w:r w:rsidR="00580E1E">
                              <w:t>retningslinjer</w:t>
                            </w:r>
                            <w:r w:rsidR="00D607F8">
                              <w:t>,</w:t>
                            </w:r>
                            <w:r w:rsidR="000969F0">
                              <w:t xml:space="preserve"> der skal udfærdiges hhv. opdateres i </w:t>
                            </w:r>
                            <w:r w:rsidR="00773097">
                              <w:t>budgetåret</w:t>
                            </w:r>
                          </w:p>
                          <w:p w14:paraId="3A4C412D" w14:textId="77777777" w:rsidR="000969F0" w:rsidRDefault="000969F0" w:rsidP="00C72FC7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Beløbet per retningslinje fordeles på det antal personer</w:t>
                            </w:r>
                            <w:r w:rsidR="00D607F8">
                              <w:t>,</w:t>
                            </w:r>
                            <w:r>
                              <w:t xml:space="preserve"> der skal arbejde på retningslinjen</w:t>
                            </w:r>
                          </w:p>
                          <w:p w14:paraId="1A6D3381" w14:textId="77777777" w:rsidR="000969F0" w:rsidRDefault="000969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27C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6.4pt;width:477pt;height:12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" fillcolor="white [3201]" strokeweight=".5pt">
                <v:textbox>
                  <w:txbxContent>
                    <w:p w14:paraId="12988D54" w14:textId="77777777" w:rsidR="000969F0" w:rsidRDefault="000969F0" w:rsidP="000969F0">
                      <w:pPr>
                        <w:spacing w:line="276" w:lineRule="auto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  <w:lang w:eastAsia="da-DK"/>
                        </w:rPr>
                        <w:t xml:space="preserve">Sekretariatet anbefaler </w:t>
                      </w:r>
                      <w:r>
                        <w:rPr>
                          <w:u w:val="single"/>
                        </w:rPr>
                        <w:t>følgende proces for fordeling af midler</w:t>
                      </w:r>
                    </w:p>
                    <w:p w14:paraId="017299B3" w14:textId="48C5C3C8" w:rsidR="000969F0" w:rsidRDefault="000969F0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Forventede udgifter til møder og transport i forbindelse med retningslinjeindsatsen i budgetåret fratrækkes budgetsummen</w:t>
                      </w:r>
                    </w:p>
                    <w:p w14:paraId="247F14C3" w14:textId="15E773E9" w:rsidR="000969F0" w:rsidRDefault="008D24A1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Rest</w:t>
                      </w:r>
                      <w:r w:rsidR="000969F0">
                        <w:t xml:space="preserve">beløbet fordeles på det forventede antal </w:t>
                      </w:r>
                      <w:r w:rsidR="00580E1E">
                        <w:t>retningslinjer</w:t>
                      </w:r>
                      <w:r w:rsidR="00D607F8">
                        <w:t>,</w:t>
                      </w:r>
                      <w:r w:rsidR="000969F0">
                        <w:t xml:space="preserve"> der skal udfærdiges hhv. opdateres i </w:t>
                      </w:r>
                      <w:r w:rsidR="00773097">
                        <w:t>budgetåret</w:t>
                      </w:r>
                    </w:p>
                    <w:p w14:paraId="3A4C412D" w14:textId="77777777" w:rsidR="000969F0" w:rsidRDefault="000969F0" w:rsidP="00C72FC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Beløbet per retningslinje fordeles på det antal personer</w:t>
                      </w:r>
                      <w:r w:rsidR="00D607F8">
                        <w:t>,</w:t>
                      </w:r>
                      <w:r>
                        <w:t xml:space="preserve"> der skal arbejde på retningslinjen</w:t>
                      </w:r>
                    </w:p>
                    <w:p w14:paraId="1A6D3381" w14:textId="77777777" w:rsidR="000969F0" w:rsidRDefault="000969F0"/>
                  </w:txbxContent>
                </v:textbox>
              </v:shape>
            </w:pict>
          </mc:Fallback>
        </mc:AlternateContent>
      </w:r>
    </w:p>
    <w:p w14:paraId="7EB78F02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2F637C3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1AC60D62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3AFC1E67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52718ED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7F42F2F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6DC31E46" w14:textId="77777777" w:rsidR="000969F0" w:rsidRPr="00FA38CD" w:rsidRDefault="000969F0" w:rsidP="006067AD">
      <w:pPr>
        <w:pStyle w:val="Listeafsnit"/>
        <w:spacing w:after="0" w:line="280" w:lineRule="exact"/>
        <w:ind w:left="0"/>
        <w:rPr>
          <w:szCs w:val="20"/>
        </w:rPr>
      </w:pPr>
    </w:p>
    <w:p w14:paraId="716D5B89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</w:p>
    <w:p w14:paraId="0B5D9D92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  <w:r w:rsidRPr="0061491D">
        <w:rPr>
          <w:rFonts w:ascii="Verdana" w:hAnsi="Verdana" w:cs="Times New Roman"/>
          <w:szCs w:val="20"/>
        </w:rPr>
        <w:t xml:space="preserve">Der kan maksimalt ske fordeling af midler sv.t. det samlede </w:t>
      </w:r>
      <w:r w:rsidR="00D607F8">
        <w:rPr>
          <w:rFonts w:ascii="Verdana" w:hAnsi="Verdana" w:cs="Times New Roman"/>
          <w:szCs w:val="20"/>
        </w:rPr>
        <w:t>Retningslinje</w:t>
      </w:r>
      <w:r w:rsidRPr="0061491D">
        <w:rPr>
          <w:rFonts w:ascii="Verdana" w:hAnsi="Verdana" w:cs="Times New Roman"/>
          <w:szCs w:val="20"/>
        </w:rPr>
        <w:t>budget.</w:t>
      </w:r>
    </w:p>
    <w:p w14:paraId="217294D3" w14:textId="77777777" w:rsidR="006558AB" w:rsidRPr="0061491D" w:rsidRDefault="006558AB" w:rsidP="006067AD">
      <w:pPr>
        <w:spacing w:after="0" w:line="280" w:lineRule="exact"/>
        <w:contextualSpacing/>
        <w:rPr>
          <w:rFonts w:ascii="Verdana" w:hAnsi="Verdana" w:cs="Times New Roman"/>
          <w:szCs w:val="20"/>
        </w:rPr>
      </w:pPr>
    </w:p>
    <w:p w14:paraId="58B0B232" w14:textId="5764CC68" w:rsidR="006558AB" w:rsidRPr="0061491D" w:rsidRDefault="00773097" w:rsidP="006067AD">
      <w:pPr>
        <w:pStyle w:val="Overskrift4"/>
        <w:spacing w:line="280" w:lineRule="exact"/>
        <w:rPr>
          <w:b/>
        </w:rPr>
      </w:pPr>
      <w:r>
        <w:rPr>
          <w:b/>
        </w:rPr>
        <w:t>Honorering</w:t>
      </w:r>
    </w:p>
    <w:p w14:paraId="0DB117A9" w14:textId="1280AF23" w:rsidR="006558AB" w:rsidRPr="002043BE" w:rsidRDefault="008D24A1" w:rsidP="006067AD">
      <w:pPr>
        <w:spacing w:after="0" w:line="280" w:lineRule="exact"/>
        <w:contextualSpacing/>
        <w:rPr>
          <w:szCs w:val="20"/>
        </w:rPr>
      </w:pPr>
      <w:r>
        <w:rPr>
          <w:szCs w:val="20"/>
        </w:rPr>
        <w:t xml:space="preserve">Arbejdet med kliniske retningslinjer kan godtgøres på </w:t>
      </w:r>
      <w:r w:rsidR="00773097">
        <w:rPr>
          <w:szCs w:val="20"/>
        </w:rPr>
        <w:t>to</w:t>
      </w:r>
      <w:r w:rsidR="006558AB" w:rsidRPr="002043BE">
        <w:rPr>
          <w:szCs w:val="20"/>
        </w:rPr>
        <w:t xml:space="preserve"> måder</w:t>
      </w:r>
      <w:r w:rsidR="0061491D">
        <w:rPr>
          <w:szCs w:val="20"/>
        </w:rPr>
        <w:t>:</w:t>
      </w:r>
    </w:p>
    <w:p w14:paraId="5DE56CA9" w14:textId="77777777" w:rsidR="006558AB" w:rsidRPr="002043BE" w:rsidRDefault="006558AB" w:rsidP="00FA38CD">
      <w:pPr>
        <w:pStyle w:val="Markeringsbobletekst"/>
        <w:spacing w:line="280" w:lineRule="exact"/>
        <w:contextualSpacing/>
        <w:rPr>
          <w:szCs w:val="20"/>
        </w:rPr>
      </w:pPr>
    </w:p>
    <w:p w14:paraId="6D512C2B" w14:textId="566AC21B" w:rsidR="00F5770F" w:rsidRPr="00773097" w:rsidRDefault="00773097" w:rsidP="00FA38CD">
      <w:pPr>
        <w:spacing w:after="0" w:line="280" w:lineRule="exact"/>
        <w:contextualSpacing/>
        <w:rPr>
          <w:rFonts w:ascii="Verdana" w:hAnsi="Verdana"/>
          <w:szCs w:val="20"/>
          <w:shd w:val="clear" w:color="auto" w:fill="FFFFFF"/>
        </w:rPr>
      </w:pPr>
      <w:r w:rsidRPr="00773097">
        <w:rPr>
          <w:rFonts w:ascii="Verdana" w:hAnsi="Verdana"/>
          <w:szCs w:val="20"/>
          <w:u w:val="single"/>
          <w:shd w:val="clear" w:color="auto" w:fill="FFFFFF"/>
        </w:rPr>
        <w:t xml:space="preserve">Frikøb til den ansattes afdeling (faktura til </w:t>
      </w:r>
      <w:r w:rsidR="00580E1E">
        <w:rPr>
          <w:rFonts w:ascii="Verdana" w:hAnsi="Verdana"/>
          <w:szCs w:val="20"/>
          <w:u w:val="single"/>
          <w:shd w:val="clear" w:color="auto" w:fill="FFFFFF"/>
        </w:rPr>
        <w:t>SundK</w:t>
      </w:r>
      <w:r w:rsidRPr="00773097">
        <w:rPr>
          <w:rFonts w:ascii="Verdana" w:hAnsi="Verdana"/>
          <w:szCs w:val="20"/>
          <w:u w:val="single"/>
          <w:shd w:val="clear" w:color="auto" w:fill="FFFFFF"/>
        </w:rPr>
        <w:t xml:space="preserve"> via EAN 5798002764895).</w:t>
      </w:r>
      <w:r w:rsidRPr="00773097">
        <w:rPr>
          <w:rFonts w:ascii="Verdana" w:hAnsi="Verdana"/>
          <w:szCs w:val="20"/>
          <w:u w:val="single"/>
          <w:shd w:val="clear" w:color="auto" w:fill="FFFFFF"/>
        </w:rPr>
        <w:br/>
      </w:r>
      <w:r w:rsidRPr="00773097">
        <w:rPr>
          <w:rFonts w:ascii="Verdana" w:hAnsi="Verdana"/>
          <w:szCs w:val="20"/>
          <w:shd w:val="clear" w:color="auto" w:fill="FFFFFF"/>
        </w:rPr>
        <w:t>Retningslinjearbejdet skal blot være påbegyndt. Beløbet er valgfrit, aftales med DMCG-formand iht. gruppens budget.</w:t>
      </w:r>
      <w:r w:rsidRPr="00773097">
        <w:rPr>
          <w:rFonts w:ascii="Verdana" w:hAnsi="Verdana"/>
          <w:szCs w:val="20"/>
        </w:rPr>
        <w:br/>
      </w:r>
      <w:r w:rsidRPr="00773097">
        <w:rPr>
          <w:rFonts w:ascii="Verdana" w:hAnsi="Verdana"/>
          <w:szCs w:val="20"/>
          <w:shd w:val="clear" w:color="auto" w:fill="FFFFFF"/>
        </w:rPr>
        <w:t>Frikøbet udbetales til afdelingen enten med henblik på sikring af frihed til varetagelse af opgaven eller som udbetaling til den ansatte for merarbejde.</w:t>
      </w:r>
      <w:r w:rsidR="00AF35AB" w:rsidRPr="00AF35AB">
        <w:t xml:space="preserve"> </w:t>
      </w:r>
      <w:r w:rsidR="00AF35AB">
        <w:t>Aftaler om frihed til opgaven skal ske inden for lokale rammer for sådanne aftaler.</w:t>
      </w:r>
      <w:r w:rsidRPr="00773097">
        <w:rPr>
          <w:rFonts w:ascii="Verdana" w:hAnsi="Verdana"/>
          <w:szCs w:val="20"/>
        </w:rPr>
        <w:br/>
      </w:r>
      <w:r w:rsidRPr="00773097">
        <w:rPr>
          <w:rStyle w:val="Strk"/>
          <w:rFonts w:ascii="Verdana" w:hAnsi="Verdana"/>
          <w:szCs w:val="20"/>
          <w:shd w:val="clear" w:color="auto" w:fill="FFFFFF"/>
        </w:rPr>
        <w:t>Eksempel</w:t>
      </w:r>
      <w:r w:rsidRPr="00580E1E">
        <w:rPr>
          <w:rFonts w:ascii="Verdana" w:hAnsi="Verdana"/>
          <w:szCs w:val="20"/>
          <w:shd w:val="clear" w:color="auto" w:fill="FFFFFF"/>
        </w:rPr>
        <w:t xml:space="preserve"> på </w:t>
      </w:r>
      <w:proofErr w:type="spellStart"/>
      <w:r w:rsidRPr="00580E1E">
        <w:rPr>
          <w:rFonts w:ascii="Verdana" w:hAnsi="Verdana"/>
          <w:szCs w:val="20"/>
          <w:shd w:val="clear" w:color="auto" w:fill="FFFFFF"/>
        </w:rPr>
        <w:t>merarbejdsaftale</w:t>
      </w:r>
      <w:proofErr w:type="spellEnd"/>
      <w:r w:rsidRPr="00580E1E">
        <w:rPr>
          <w:rFonts w:ascii="Verdana" w:hAnsi="Verdana"/>
          <w:szCs w:val="20"/>
          <w:shd w:val="clear" w:color="auto" w:fill="FFFFFF"/>
        </w:rPr>
        <w:t xml:space="preserve"> kan findes på </w:t>
      </w:r>
      <w:hyperlink r:id="rId8" w:history="1">
        <w:r w:rsidRPr="00580E1E">
          <w:rPr>
            <w:rStyle w:val="Hyperlink"/>
            <w:rFonts w:ascii="Verdana" w:hAnsi="Verdana"/>
            <w:szCs w:val="20"/>
            <w:shd w:val="clear" w:color="auto" w:fill="FFFFFF"/>
          </w:rPr>
          <w:t>dmcg.dk</w:t>
        </w:r>
      </w:hyperlink>
      <w:r w:rsidRPr="00580E1E">
        <w:rPr>
          <w:rFonts w:ascii="Verdana" w:hAnsi="Verdana"/>
          <w:szCs w:val="20"/>
          <w:shd w:val="clear" w:color="auto" w:fill="FFFFFF"/>
        </w:rPr>
        <w:t>.</w:t>
      </w:r>
      <w:r w:rsidRPr="00773097">
        <w:rPr>
          <w:rFonts w:ascii="Verdana" w:hAnsi="Verdana"/>
          <w:szCs w:val="20"/>
          <w:shd w:val="clear" w:color="auto" w:fill="FFFFFF"/>
        </w:rPr>
        <w:t> </w:t>
      </w:r>
      <w:r>
        <w:rPr>
          <w:rFonts w:ascii="Verdana" w:hAnsi="Verdana"/>
          <w:szCs w:val="20"/>
          <w:shd w:val="clear" w:color="auto" w:fill="FFFFFF"/>
        </w:rPr>
        <w:br/>
      </w:r>
      <w:proofErr w:type="spellStart"/>
      <w:r w:rsidR="00F4412B" w:rsidRPr="00773097">
        <w:rPr>
          <w:rFonts w:ascii="Verdana" w:hAnsi="Verdana"/>
          <w:szCs w:val="20"/>
          <w:shd w:val="clear" w:color="auto" w:fill="FFFFFF"/>
        </w:rPr>
        <w:t>Merarbejdsaftale</w:t>
      </w:r>
      <w:r w:rsidR="00F4412B">
        <w:rPr>
          <w:rFonts w:ascii="Verdana" w:hAnsi="Verdana"/>
          <w:szCs w:val="20"/>
          <w:shd w:val="clear" w:color="auto" w:fill="FFFFFF"/>
        </w:rPr>
        <w:t>n</w:t>
      </w:r>
      <w:proofErr w:type="spellEnd"/>
      <w:r w:rsidRPr="00773097">
        <w:rPr>
          <w:rFonts w:ascii="Verdana" w:hAnsi="Verdana"/>
          <w:szCs w:val="20"/>
          <w:shd w:val="clear" w:color="auto" w:fill="FFFFFF"/>
        </w:rPr>
        <w:t xml:space="preserve"> er et </w:t>
      </w:r>
      <w:r w:rsidRPr="00AF35AB">
        <w:rPr>
          <w:rFonts w:ascii="Verdana" w:hAnsi="Verdana"/>
          <w:i/>
          <w:szCs w:val="20"/>
          <w:shd w:val="clear" w:color="auto" w:fill="FFFFFF"/>
        </w:rPr>
        <w:t>internt dokument</w:t>
      </w:r>
      <w:r w:rsidRPr="00773097">
        <w:rPr>
          <w:rFonts w:ascii="Verdana" w:hAnsi="Verdana"/>
          <w:szCs w:val="20"/>
          <w:shd w:val="clear" w:color="auto" w:fill="FFFFFF"/>
        </w:rPr>
        <w:t xml:space="preserve"> mellem </w:t>
      </w:r>
      <w:r w:rsidR="00AF35AB">
        <w:rPr>
          <w:rFonts w:ascii="Verdana" w:hAnsi="Verdana"/>
          <w:szCs w:val="20"/>
          <w:shd w:val="clear" w:color="auto" w:fill="FFFFFF"/>
        </w:rPr>
        <w:t>sygehus</w:t>
      </w:r>
      <w:r w:rsidRPr="00773097">
        <w:rPr>
          <w:rFonts w:ascii="Verdana" w:hAnsi="Verdana"/>
          <w:szCs w:val="20"/>
          <w:shd w:val="clear" w:color="auto" w:fill="FFFFFF"/>
        </w:rPr>
        <w:t>afdeling og medarbejder og skal </w:t>
      </w:r>
      <w:r w:rsidRPr="00773097">
        <w:rPr>
          <w:rFonts w:ascii="Verdana" w:hAnsi="Verdana"/>
          <w:szCs w:val="20"/>
          <w:u w:val="single"/>
          <w:shd w:val="clear" w:color="auto" w:fill="FFFFFF"/>
        </w:rPr>
        <w:t>ikke</w:t>
      </w:r>
      <w:r w:rsidRPr="00773097">
        <w:rPr>
          <w:rFonts w:ascii="Verdana" w:hAnsi="Verdana"/>
          <w:szCs w:val="20"/>
          <w:shd w:val="clear" w:color="auto" w:fill="FFFFFF"/>
        </w:rPr>
        <w:t xml:space="preserve"> sendes til </w:t>
      </w:r>
      <w:r w:rsidR="00580E1E">
        <w:rPr>
          <w:rFonts w:ascii="Verdana" w:hAnsi="Verdana"/>
          <w:szCs w:val="20"/>
          <w:shd w:val="clear" w:color="auto" w:fill="FFFFFF"/>
        </w:rPr>
        <w:t>SundK</w:t>
      </w:r>
      <w:r w:rsidRPr="00773097">
        <w:rPr>
          <w:rFonts w:ascii="Verdana" w:hAnsi="Verdana"/>
          <w:szCs w:val="20"/>
          <w:shd w:val="clear" w:color="auto" w:fill="FFFFFF"/>
        </w:rPr>
        <w:t>.</w:t>
      </w:r>
    </w:p>
    <w:p w14:paraId="646F2BB3" w14:textId="501C8CF7" w:rsidR="00F5770F" w:rsidRPr="00FA38CD" w:rsidRDefault="006C241A" w:rsidP="00773097">
      <w:pPr>
        <w:spacing w:after="0" w:line="280" w:lineRule="exact"/>
        <w:contextualSpacing/>
        <w:rPr>
          <w:szCs w:val="20"/>
        </w:rPr>
      </w:pPr>
      <w:r>
        <w:br/>
      </w:r>
      <w:r w:rsidR="00773097" w:rsidRPr="00773097">
        <w:rPr>
          <w:u w:val="single"/>
        </w:rPr>
        <w:t>Ansættelse v/</w:t>
      </w:r>
      <w:r w:rsidR="00580E1E">
        <w:rPr>
          <w:u w:val="single"/>
        </w:rPr>
        <w:t>Sundhedsvæsenets Kvalitetsinstitut</w:t>
      </w:r>
      <w:r w:rsidR="00773097" w:rsidRPr="00773097">
        <w:rPr>
          <w:u w:val="single"/>
        </w:rPr>
        <w:t xml:space="preserve"> og udbetaling som A-indkomst </w:t>
      </w:r>
      <w:r w:rsidR="00773097" w:rsidRPr="00773097">
        <w:rPr>
          <w:u w:val="single"/>
        </w:rPr>
        <w:br/>
      </w:r>
      <w:r w:rsidR="00773097" w:rsidRPr="00773097">
        <w:t>Retningslinjen </w:t>
      </w:r>
      <w:r w:rsidR="00773097" w:rsidRPr="00773097">
        <w:rPr>
          <w:u w:val="single"/>
        </w:rPr>
        <w:t>skal</w:t>
      </w:r>
      <w:r w:rsidR="00773097" w:rsidRPr="00773097">
        <w:t> være administrativt godkendt v/Retningslinjesekretariatet.</w:t>
      </w:r>
      <w:r w:rsidR="00773097" w:rsidRPr="00773097">
        <w:br/>
      </w:r>
      <w:r w:rsidR="00773097">
        <w:rPr>
          <w:iCs/>
        </w:rPr>
        <w:t xml:space="preserve">Se </w:t>
      </w:r>
      <w:r w:rsidR="00773097">
        <w:t>dmcg.dk for vejledning, herunder gældende takster.</w:t>
      </w:r>
      <w:r w:rsidR="0069237B">
        <w:br/>
      </w:r>
      <w:r w:rsidR="003B462B">
        <w:rPr>
          <w:szCs w:val="20"/>
        </w:rPr>
        <w:br/>
      </w:r>
      <w:r w:rsidR="0069237B">
        <w:rPr>
          <w:szCs w:val="20"/>
        </w:rPr>
        <w:t>***</w:t>
      </w:r>
    </w:p>
    <w:p w14:paraId="1016BA6B" w14:textId="777BB688" w:rsidR="003B462B" w:rsidRDefault="00580E1E" w:rsidP="003B462B">
      <w:pPr>
        <w:spacing w:line="276" w:lineRule="auto"/>
      </w:pPr>
      <w:r>
        <w:t>SundK</w:t>
      </w:r>
      <w:r w:rsidR="003B462B">
        <w:t xml:space="preserve">/Sekretariatet for Kliniske Retningslinjer på Kræftområdet anbefaler, at arbejdet med de kliniske retningslinjer så vidt muligt varetages efter aftale på de respektive afdelinger om frikøb. </w:t>
      </w:r>
      <w:r w:rsidR="003B462B">
        <w:br/>
      </w:r>
      <w:r w:rsidR="003B462B" w:rsidRPr="00605714">
        <w:t>En høring af regionerne har afklaret, at der kan sikres</w:t>
      </w:r>
      <w:r w:rsidR="003B462B">
        <w:t xml:space="preserve"> indgåelse af </w:t>
      </w:r>
      <w:proofErr w:type="spellStart"/>
      <w:r w:rsidR="003B462B">
        <w:t>merarbejdsaftaler</w:t>
      </w:r>
      <w:proofErr w:type="spellEnd"/>
      <w:r w:rsidR="003B462B">
        <w:t>,</w:t>
      </w:r>
      <w:r w:rsidR="003B462B" w:rsidRPr="00605714">
        <w:t xml:space="preserve"> hvis det ikke er muligt at sikre frihed til at varetage funktionen i arbejdstiden. </w:t>
      </w:r>
      <w:r w:rsidR="003B462B">
        <w:br/>
      </w:r>
      <w:r w:rsidR="003B462B" w:rsidRPr="00605714">
        <w:lastRenderedPageBreak/>
        <w:t xml:space="preserve">Hvis der opleves problemer med indgåelse af </w:t>
      </w:r>
      <w:proofErr w:type="spellStart"/>
      <w:r w:rsidR="003B462B" w:rsidRPr="00605714">
        <w:t>merarbejdsaftaler</w:t>
      </w:r>
      <w:proofErr w:type="spellEnd"/>
      <w:r w:rsidR="003B462B">
        <w:t xml:space="preserve"> eller frikøb</w:t>
      </w:r>
      <w:r w:rsidR="003B462B" w:rsidRPr="00605714">
        <w:t xml:space="preserve"> kan </w:t>
      </w:r>
      <w:r>
        <w:t>SundK</w:t>
      </w:r>
      <w:r w:rsidR="003B462B" w:rsidRPr="00605714">
        <w:t xml:space="preserve"> kontaktes</w:t>
      </w:r>
      <w:r>
        <w:t xml:space="preserve"> på </w:t>
      </w:r>
      <w:hyperlink r:id="rId9" w:history="1">
        <w:r w:rsidRPr="005A236C">
          <w:rPr>
            <w:rStyle w:val="Hyperlink"/>
          </w:rPr>
          <w:t>sundk@sundk.dk</w:t>
        </w:r>
      </w:hyperlink>
      <w:r>
        <w:t xml:space="preserve"> </w:t>
      </w:r>
    </w:p>
    <w:p w14:paraId="14AA8558" w14:textId="77777777" w:rsidR="00F902A8" w:rsidRPr="00AF35AB" w:rsidRDefault="00F902A8" w:rsidP="00F902A8">
      <w:pPr>
        <w:pStyle w:val="Overskrift4"/>
        <w:spacing w:line="280" w:lineRule="exact"/>
        <w:rPr>
          <w:shd w:val="clear" w:color="auto" w:fill="FFFFFF"/>
        </w:rPr>
      </w:pPr>
      <w:r w:rsidRPr="00AF35AB">
        <w:rPr>
          <w:b/>
        </w:rPr>
        <w:t>Anmodning om øget bevilling</w:t>
      </w:r>
    </w:p>
    <w:p w14:paraId="249EC2FE" w14:textId="6F46C6A8" w:rsidR="00F902A8" w:rsidRDefault="00265C2E" w:rsidP="00F902A8">
      <w:pPr>
        <w:spacing w:line="276" w:lineRule="auto"/>
        <w:rPr>
          <w:szCs w:val="20"/>
        </w:rPr>
      </w:pPr>
      <w:r w:rsidRPr="00265C2E">
        <w:rPr>
          <w:szCs w:val="20"/>
        </w:rPr>
        <w:t xml:space="preserve">Har DMCG'en ikke kunnet færdiggøre </w:t>
      </w:r>
      <w:r w:rsidR="00F5770F">
        <w:rPr>
          <w:szCs w:val="20"/>
        </w:rPr>
        <w:t xml:space="preserve">de </w:t>
      </w:r>
      <w:r w:rsidRPr="00265C2E">
        <w:rPr>
          <w:szCs w:val="20"/>
        </w:rPr>
        <w:t xml:space="preserve">planlagte retningslinjer i </w:t>
      </w:r>
      <w:r w:rsidR="00F5770F">
        <w:rPr>
          <w:szCs w:val="20"/>
        </w:rPr>
        <w:t xml:space="preserve">det </w:t>
      </w:r>
      <w:r w:rsidRPr="00265C2E">
        <w:rPr>
          <w:szCs w:val="20"/>
        </w:rPr>
        <w:t xml:space="preserve">indeværende år og ser behov for øget bevilling grundet planer om forøget arbejdsindsats, kan </w:t>
      </w:r>
      <w:r w:rsidR="00F5770F">
        <w:rPr>
          <w:szCs w:val="20"/>
        </w:rPr>
        <w:t xml:space="preserve">der ved udgangen af februar </w:t>
      </w:r>
      <w:r w:rsidRPr="00265C2E">
        <w:rPr>
          <w:szCs w:val="20"/>
        </w:rPr>
        <w:t xml:space="preserve">søges </w:t>
      </w:r>
      <w:r w:rsidR="00F5770F">
        <w:rPr>
          <w:szCs w:val="20"/>
        </w:rPr>
        <w:t>om øget bevilling</w:t>
      </w:r>
      <w:r w:rsidRPr="00265C2E">
        <w:rPr>
          <w:szCs w:val="20"/>
        </w:rPr>
        <w:t>.</w:t>
      </w:r>
      <w:r>
        <w:rPr>
          <w:szCs w:val="20"/>
        </w:rPr>
        <w:br/>
      </w:r>
      <w:r w:rsidR="00F902A8" w:rsidRPr="00AF35AB">
        <w:rPr>
          <w:szCs w:val="20"/>
        </w:rPr>
        <w:t xml:space="preserve">Ansøgningsdato </w:t>
      </w:r>
      <w:r>
        <w:rPr>
          <w:szCs w:val="20"/>
        </w:rPr>
        <w:t xml:space="preserve">og samlet pulje </w:t>
      </w:r>
      <w:r w:rsidR="00F902A8" w:rsidRPr="00AF35AB">
        <w:rPr>
          <w:szCs w:val="20"/>
        </w:rPr>
        <w:t>meld</w:t>
      </w:r>
      <w:r w:rsidR="00F902A8">
        <w:rPr>
          <w:szCs w:val="20"/>
        </w:rPr>
        <w:t>es ud per mail til DMCG-formænd.</w:t>
      </w:r>
      <w:r w:rsidR="00F902A8">
        <w:rPr>
          <w:szCs w:val="20"/>
        </w:rPr>
        <w:br/>
        <w:t xml:space="preserve">Blanket </w:t>
      </w:r>
      <w:r>
        <w:rPr>
          <w:szCs w:val="20"/>
        </w:rPr>
        <w:t xml:space="preserve">til ansøgning </w:t>
      </w:r>
      <w:r w:rsidR="00F902A8">
        <w:rPr>
          <w:szCs w:val="20"/>
        </w:rPr>
        <w:t xml:space="preserve">findes på </w:t>
      </w:r>
      <w:hyperlink r:id="rId10" w:history="1">
        <w:r w:rsidR="00F902A8" w:rsidRPr="00580E1E">
          <w:rPr>
            <w:rStyle w:val="Hyperlink"/>
            <w:szCs w:val="20"/>
          </w:rPr>
          <w:t>dmcg.dk</w:t>
        </w:r>
      </w:hyperlink>
    </w:p>
    <w:p w14:paraId="51F55C7C" w14:textId="2C2DBB7F" w:rsidR="00F902A8" w:rsidRDefault="00F902A8" w:rsidP="00F902A8">
      <w:pPr>
        <w:pStyle w:val="Overskrift4"/>
        <w:spacing w:line="280" w:lineRule="exact"/>
      </w:pPr>
      <w:r w:rsidRPr="00F902A8">
        <w:rPr>
          <w:b/>
        </w:rPr>
        <w:t>Generelt</w:t>
      </w:r>
    </w:p>
    <w:p w14:paraId="717EC8E1" w14:textId="058F8448" w:rsid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 w:rsidRPr="00F902A8">
        <w:rPr>
          <w:szCs w:val="20"/>
        </w:rPr>
        <w:t>Alle midler er driftsmidler, som ikke kan overflyttes til et nyt budgetår.</w:t>
      </w:r>
    </w:p>
    <w:p w14:paraId="6DD2815D" w14:textId="12112346" w:rsidR="00F5770F" w:rsidRDefault="00F5770F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Ved årsskiftet tilgår der hver DMCG nyt budget til retningslinjearbejdet.</w:t>
      </w:r>
    </w:p>
    <w:p w14:paraId="5717400B" w14:textId="47C01D94" w:rsid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Ansøgninger om øget bevilling skal ske af DMCG-formænd, eller efter aftale med denne.</w:t>
      </w:r>
    </w:p>
    <w:p w14:paraId="322D6CA0" w14:textId="4C764E2F" w:rsidR="00F902A8" w:rsidRPr="00F902A8" w:rsidRDefault="00F902A8" w:rsidP="00F902A8">
      <w:pPr>
        <w:pStyle w:val="Listeafsnit"/>
        <w:numPr>
          <w:ilvl w:val="0"/>
          <w:numId w:val="6"/>
        </w:numPr>
        <w:spacing w:line="276" w:lineRule="auto"/>
        <w:rPr>
          <w:szCs w:val="20"/>
        </w:rPr>
      </w:pPr>
      <w:r>
        <w:rPr>
          <w:szCs w:val="20"/>
        </w:rPr>
        <w:t>Afregninger og refusioner</w:t>
      </w:r>
      <w:r w:rsidR="0069237B">
        <w:rPr>
          <w:szCs w:val="20"/>
        </w:rPr>
        <w:t>,</w:t>
      </w:r>
      <w:r>
        <w:rPr>
          <w:szCs w:val="20"/>
        </w:rPr>
        <w:t xml:space="preserve"> der modtages efter de udmeldte frister kan ikke refunderes.</w:t>
      </w:r>
      <w:r>
        <w:rPr>
          <w:szCs w:val="20"/>
        </w:rPr>
        <w:br/>
        <w:t xml:space="preserve">Hvis </w:t>
      </w:r>
      <w:r w:rsidR="00F5770F">
        <w:rPr>
          <w:szCs w:val="20"/>
        </w:rPr>
        <w:t xml:space="preserve">DMCG'en har </w:t>
      </w:r>
      <w:r>
        <w:rPr>
          <w:szCs w:val="20"/>
        </w:rPr>
        <w:t>udgifter</w:t>
      </w:r>
      <w:r w:rsidR="00F5770F">
        <w:rPr>
          <w:szCs w:val="20"/>
        </w:rPr>
        <w:t>,</w:t>
      </w:r>
      <w:r>
        <w:rPr>
          <w:szCs w:val="20"/>
        </w:rPr>
        <w:t xml:space="preserve"> der ikke k</w:t>
      </w:r>
      <w:r w:rsidR="00F5770F">
        <w:rPr>
          <w:szCs w:val="20"/>
        </w:rPr>
        <w:t>an faktureres før disse frister tages kontakt til os</w:t>
      </w:r>
      <w:r w:rsidR="0069237B">
        <w:rPr>
          <w:szCs w:val="20"/>
        </w:rPr>
        <w:t>.</w:t>
      </w:r>
    </w:p>
    <w:p w14:paraId="7A6FB076" w14:textId="20201241" w:rsidR="003B462B" w:rsidRPr="00FA38CD" w:rsidRDefault="00F902A8" w:rsidP="00F902A8">
      <w:pPr>
        <w:pStyle w:val="Overskrift4"/>
        <w:spacing w:line="280" w:lineRule="exact"/>
      </w:pPr>
      <w:r w:rsidRPr="00F902A8">
        <w:rPr>
          <w:b/>
        </w:rPr>
        <w:t>Spørgsmål</w:t>
      </w:r>
      <w:r w:rsidR="00F5770F">
        <w:rPr>
          <w:b/>
        </w:rPr>
        <w:t xml:space="preserve"> </w:t>
      </w:r>
    </w:p>
    <w:p w14:paraId="7D13349C" w14:textId="2D33C049" w:rsidR="00C72FC7" w:rsidRDefault="003B60AF" w:rsidP="006067AD">
      <w:pPr>
        <w:pStyle w:val="Brdtekst"/>
        <w:spacing w:line="280" w:lineRule="exact"/>
        <w:rPr>
          <w:sz w:val="20"/>
          <w:szCs w:val="20"/>
        </w:rPr>
      </w:pPr>
      <w:r w:rsidRPr="003B462B">
        <w:rPr>
          <w:color w:val="auto"/>
          <w:sz w:val="20"/>
          <w:szCs w:val="20"/>
        </w:rPr>
        <w:t xml:space="preserve">Spørgsmål til </w:t>
      </w:r>
      <w:r>
        <w:rPr>
          <w:color w:val="auto"/>
          <w:sz w:val="20"/>
          <w:szCs w:val="20"/>
        </w:rPr>
        <w:t>praktikken omkring udbetaling</w:t>
      </w:r>
      <w:r w:rsidR="00F5770F">
        <w:rPr>
          <w:color w:val="auto"/>
          <w:sz w:val="20"/>
          <w:szCs w:val="20"/>
        </w:rPr>
        <w:t xml:space="preserve"> og henvendelser</w:t>
      </w:r>
      <w:r w:rsidRPr="003B462B">
        <w:rPr>
          <w:color w:val="auto"/>
          <w:sz w:val="20"/>
          <w:szCs w:val="20"/>
        </w:rPr>
        <w:t xml:space="preserve"> </w:t>
      </w:r>
      <w:r w:rsidR="00F5770F">
        <w:rPr>
          <w:color w:val="auto"/>
          <w:sz w:val="20"/>
          <w:szCs w:val="20"/>
        </w:rPr>
        <w:t xml:space="preserve">vedr. arbejdsgange </w:t>
      </w:r>
      <w:r w:rsidRPr="003B462B">
        <w:rPr>
          <w:color w:val="auto"/>
          <w:sz w:val="20"/>
          <w:szCs w:val="20"/>
        </w:rPr>
        <w:t>rettes til Pia Frandsen</w:t>
      </w:r>
      <w:r w:rsidR="00580E1E">
        <w:rPr>
          <w:color w:val="auto"/>
          <w:sz w:val="20"/>
          <w:szCs w:val="20"/>
        </w:rPr>
        <w:t xml:space="preserve">, </w:t>
      </w:r>
      <w:hyperlink r:id="rId11" w:history="1">
        <w:r w:rsidR="00580E1E" w:rsidRPr="005A236C">
          <w:rPr>
            <w:rStyle w:val="Hyperlink"/>
            <w:sz w:val="20"/>
            <w:szCs w:val="20"/>
          </w:rPr>
          <w:t>piafrn@sundk.dk</w:t>
        </w:r>
      </w:hyperlink>
      <w:r w:rsidR="00580E1E">
        <w:rPr>
          <w:color w:val="auto"/>
          <w:sz w:val="20"/>
          <w:szCs w:val="20"/>
        </w:rPr>
        <w:t xml:space="preserve"> </w:t>
      </w:r>
      <w:r w:rsidRPr="00FA38CD">
        <w:rPr>
          <w:sz w:val="20"/>
          <w:szCs w:val="20"/>
        </w:rPr>
        <w:br/>
      </w:r>
      <w:r w:rsidRPr="003B462B">
        <w:rPr>
          <w:color w:val="auto"/>
          <w:sz w:val="20"/>
          <w:szCs w:val="20"/>
        </w:rPr>
        <w:t xml:space="preserve">Spørgsmål </w:t>
      </w:r>
      <w:r>
        <w:rPr>
          <w:color w:val="auto"/>
          <w:sz w:val="20"/>
          <w:szCs w:val="20"/>
        </w:rPr>
        <w:t xml:space="preserve">til </w:t>
      </w:r>
      <w:r w:rsidR="00F902A8">
        <w:rPr>
          <w:color w:val="auto"/>
          <w:sz w:val="20"/>
          <w:szCs w:val="20"/>
        </w:rPr>
        <w:t xml:space="preserve">generel </w:t>
      </w:r>
      <w:r>
        <w:rPr>
          <w:color w:val="auto"/>
          <w:sz w:val="20"/>
          <w:szCs w:val="20"/>
        </w:rPr>
        <w:t>honoreringspraksis</w:t>
      </w:r>
      <w:r w:rsidRPr="003B462B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rettes </w:t>
      </w:r>
      <w:r w:rsidRPr="003B462B">
        <w:rPr>
          <w:color w:val="auto"/>
          <w:sz w:val="20"/>
          <w:szCs w:val="20"/>
        </w:rPr>
        <w:t>til Anne-Marie Sigsgaard Hansen</w:t>
      </w:r>
      <w:r w:rsidR="00580E1E">
        <w:rPr>
          <w:color w:val="auto"/>
          <w:sz w:val="20"/>
          <w:szCs w:val="20"/>
        </w:rPr>
        <w:t xml:space="preserve">, </w:t>
      </w:r>
      <w:hyperlink r:id="rId12" w:history="1">
        <w:r w:rsidR="00580E1E" w:rsidRPr="005A236C">
          <w:rPr>
            <w:rStyle w:val="Hyperlink"/>
            <w:sz w:val="20"/>
            <w:szCs w:val="20"/>
          </w:rPr>
          <w:t>annhan@sundk.dk</w:t>
        </w:r>
      </w:hyperlink>
      <w:r w:rsidR="00580E1E">
        <w:rPr>
          <w:color w:val="auto"/>
          <w:sz w:val="20"/>
          <w:szCs w:val="20"/>
        </w:rPr>
        <w:t xml:space="preserve"> </w:t>
      </w:r>
    </w:p>
    <w:sectPr w:rsidR="00C72FC7" w:rsidSect="003B60AF">
      <w:headerReference w:type="default" r:id="rId13"/>
      <w:footerReference w:type="default" r:id="rId14"/>
      <w:pgSz w:w="11906" w:h="16838"/>
      <w:pgMar w:top="198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B99A" w14:textId="77777777" w:rsidR="00544CB8" w:rsidRDefault="00544CB8" w:rsidP="006558AB">
      <w:pPr>
        <w:spacing w:after="0"/>
      </w:pPr>
      <w:r>
        <w:separator/>
      </w:r>
    </w:p>
  </w:endnote>
  <w:endnote w:type="continuationSeparator" w:id="0">
    <w:p w14:paraId="2AA93F33" w14:textId="77777777" w:rsidR="00544CB8" w:rsidRDefault="00544CB8" w:rsidP="006558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DF1D" w14:textId="662DEB19" w:rsidR="0061491D" w:rsidRDefault="00580E1E" w:rsidP="00580E1E">
    <w:pPr>
      <w:pStyle w:val="Sidefod"/>
      <w:pBdr>
        <w:top w:val="single" w:sz="8" w:space="1" w:color="1F497D" w:themeColor="text2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Sundhedsvæsenets Kvalitetsinstitut</w:t>
    </w:r>
    <w:r w:rsidR="00506363">
      <w:rPr>
        <w:rFonts w:asciiTheme="majorHAnsi" w:eastAsiaTheme="majorEastAsia" w:hAnsiTheme="majorHAnsi" w:cstheme="majorBidi"/>
      </w:rPr>
      <w:t xml:space="preserve">, </w:t>
    </w:r>
    <w:r>
      <w:rPr>
        <w:rFonts w:asciiTheme="majorHAnsi" w:eastAsiaTheme="majorEastAsia" w:hAnsiTheme="majorHAnsi" w:cstheme="majorBidi"/>
      </w:rPr>
      <w:t>04</w:t>
    </w:r>
    <w:r w:rsidR="00506363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>0</w:t>
    </w:r>
    <w:r w:rsidR="00300B82">
      <w:rPr>
        <w:rFonts w:asciiTheme="majorHAnsi" w:eastAsiaTheme="majorEastAsia" w:hAnsiTheme="majorHAnsi" w:cstheme="majorBidi"/>
      </w:rPr>
      <w:t>2</w:t>
    </w:r>
    <w:r w:rsidR="00506363">
      <w:rPr>
        <w:rFonts w:asciiTheme="majorHAnsi" w:eastAsiaTheme="majorEastAsia" w:hAnsiTheme="majorHAnsi" w:cstheme="majorBidi"/>
      </w:rPr>
      <w:t>-202</w:t>
    </w:r>
    <w:r>
      <w:rPr>
        <w:rFonts w:asciiTheme="majorHAnsi" w:eastAsiaTheme="majorEastAsia" w:hAnsiTheme="majorHAnsi" w:cstheme="majorBidi"/>
      </w:rPr>
      <w:t>5</w:t>
    </w:r>
    <w:r w:rsidR="0061491D">
      <w:rPr>
        <w:rFonts w:asciiTheme="majorHAnsi" w:eastAsiaTheme="majorEastAsia" w:hAnsiTheme="majorHAnsi" w:cstheme="majorBidi"/>
      </w:rPr>
      <w:ptab w:relativeTo="margin" w:alignment="right" w:leader="none"/>
    </w:r>
    <w:r w:rsidR="0061491D">
      <w:rPr>
        <w:rFonts w:asciiTheme="majorHAnsi" w:eastAsiaTheme="majorEastAsia" w:hAnsiTheme="majorHAnsi" w:cstheme="majorBidi"/>
      </w:rPr>
      <w:t xml:space="preserve">Side </w:t>
    </w:r>
    <w:r w:rsidR="0061491D">
      <w:rPr>
        <w:rFonts w:eastAsiaTheme="minorEastAsia"/>
      </w:rPr>
      <w:fldChar w:fldCharType="begin"/>
    </w:r>
    <w:r w:rsidR="0061491D">
      <w:instrText>PAGE   \* MERGEFORMAT</w:instrText>
    </w:r>
    <w:r w:rsidR="0061491D">
      <w:rPr>
        <w:rFonts w:eastAsiaTheme="minorEastAsia"/>
      </w:rPr>
      <w:fldChar w:fldCharType="separate"/>
    </w:r>
    <w:r w:rsidR="009C447D" w:rsidRPr="009C447D">
      <w:rPr>
        <w:rFonts w:asciiTheme="majorHAnsi" w:eastAsiaTheme="majorEastAsia" w:hAnsiTheme="majorHAnsi" w:cstheme="majorBidi"/>
        <w:noProof/>
      </w:rPr>
      <w:t>2</w:t>
    </w:r>
    <w:r w:rsidR="0061491D">
      <w:rPr>
        <w:rFonts w:asciiTheme="majorHAnsi" w:eastAsiaTheme="majorEastAsia" w:hAnsiTheme="majorHAnsi" w:cstheme="majorBidi"/>
      </w:rPr>
      <w:fldChar w:fldCharType="end"/>
    </w:r>
  </w:p>
  <w:p w14:paraId="638919E0" w14:textId="77777777" w:rsidR="0061491D" w:rsidRDefault="0061491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1136" w14:textId="77777777" w:rsidR="00544CB8" w:rsidRDefault="00544CB8" w:rsidP="006558AB">
      <w:pPr>
        <w:spacing w:after="0"/>
      </w:pPr>
      <w:r>
        <w:separator/>
      </w:r>
    </w:p>
  </w:footnote>
  <w:footnote w:type="continuationSeparator" w:id="0">
    <w:p w14:paraId="1E50E8FD" w14:textId="77777777" w:rsidR="00544CB8" w:rsidRDefault="00544CB8" w:rsidP="006558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BF33" w14:textId="5F5D7ED8" w:rsidR="00A518FC" w:rsidRDefault="00580E1E">
    <w:pPr>
      <w:pStyle w:val="Sidehoved"/>
    </w:pPr>
    <w:r w:rsidRPr="00082E9D">
      <w:rPr>
        <w:noProof/>
      </w:rPr>
      <w:drawing>
        <wp:anchor distT="0" distB="0" distL="114300" distR="114300" simplePos="0" relativeHeight="251659264" behindDoc="0" locked="0" layoutInCell="1" allowOverlap="1" wp14:anchorId="69B3F106" wp14:editId="3821829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038350" cy="495300"/>
          <wp:effectExtent l="0" t="0" r="0" b="0"/>
          <wp:wrapNone/>
          <wp:docPr id="1399709847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3D654A73" wp14:editId="2213B7B6">
              <wp:extent cx="304800" cy="304800"/>
              <wp:effectExtent l="0" t="0" r="0" b="0"/>
              <wp:docPr id="1649819377" name="Rektangel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8D2431" id="Rektangel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3D192B4" wp14:editId="45D2BC63">
              <wp:extent cx="304800" cy="304800"/>
              <wp:effectExtent l="0" t="0" r="0" b="0"/>
              <wp:docPr id="1460569946" name="Rektange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616A07" id="Rektangel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3C303FB" w14:textId="71ECB5DE" w:rsidR="00A518FC" w:rsidRDefault="00580E1E">
    <w:pPr>
      <w:pStyle w:val="Sidehoved"/>
    </w:pPr>
    <w:r>
      <w:rPr>
        <w:noProof/>
      </w:rPr>
      <mc:AlternateContent>
        <mc:Choice Requires="wps">
          <w:drawing>
            <wp:inline distT="0" distB="0" distL="0" distR="0" wp14:anchorId="1AD66EB6" wp14:editId="77F800C6">
              <wp:extent cx="304800" cy="304800"/>
              <wp:effectExtent l="0" t="0" r="0" b="0"/>
              <wp:docPr id="283360751" name="Rektangel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404CCD" id="Rektangel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6F"/>
    <w:multiLevelType w:val="hybridMultilevel"/>
    <w:tmpl w:val="34B6B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F05EA"/>
    <w:multiLevelType w:val="hybridMultilevel"/>
    <w:tmpl w:val="3EE086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E671C"/>
    <w:multiLevelType w:val="hybridMultilevel"/>
    <w:tmpl w:val="ECC85590"/>
    <w:lvl w:ilvl="0" w:tplc="903844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D6EB6"/>
    <w:multiLevelType w:val="hybridMultilevel"/>
    <w:tmpl w:val="0354E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5520"/>
    <w:multiLevelType w:val="hybridMultilevel"/>
    <w:tmpl w:val="019E7B8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CF5B2C"/>
    <w:multiLevelType w:val="hybridMultilevel"/>
    <w:tmpl w:val="E0A4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3774551">
    <w:abstractNumId w:val="0"/>
  </w:num>
  <w:num w:numId="2" w16cid:durableId="527523805">
    <w:abstractNumId w:val="2"/>
  </w:num>
  <w:num w:numId="3" w16cid:durableId="961498453">
    <w:abstractNumId w:val="3"/>
  </w:num>
  <w:num w:numId="4" w16cid:durableId="1918132883">
    <w:abstractNumId w:val="5"/>
  </w:num>
  <w:num w:numId="5" w16cid:durableId="876627775">
    <w:abstractNumId w:val="4"/>
  </w:num>
  <w:num w:numId="6" w16cid:durableId="1261988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B"/>
    <w:rsid w:val="0000351A"/>
    <w:rsid w:val="00011ABC"/>
    <w:rsid w:val="00014E2A"/>
    <w:rsid w:val="000278B1"/>
    <w:rsid w:val="00032B96"/>
    <w:rsid w:val="00043288"/>
    <w:rsid w:val="000516D0"/>
    <w:rsid w:val="000619DE"/>
    <w:rsid w:val="00064B68"/>
    <w:rsid w:val="00074855"/>
    <w:rsid w:val="000969F0"/>
    <w:rsid w:val="000A043D"/>
    <w:rsid w:val="000A31F7"/>
    <w:rsid w:val="000A57DA"/>
    <w:rsid w:val="000B0F06"/>
    <w:rsid w:val="000C3F3C"/>
    <w:rsid w:val="000D6E90"/>
    <w:rsid w:val="000E0975"/>
    <w:rsid w:val="00105386"/>
    <w:rsid w:val="00107209"/>
    <w:rsid w:val="00116650"/>
    <w:rsid w:val="00124C26"/>
    <w:rsid w:val="00130963"/>
    <w:rsid w:val="001320D5"/>
    <w:rsid w:val="00134A89"/>
    <w:rsid w:val="00136CCE"/>
    <w:rsid w:val="00141B79"/>
    <w:rsid w:val="00143C9C"/>
    <w:rsid w:val="00144E08"/>
    <w:rsid w:val="001537BE"/>
    <w:rsid w:val="00164965"/>
    <w:rsid w:val="001650AC"/>
    <w:rsid w:val="00165678"/>
    <w:rsid w:val="0018042F"/>
    <w:rsid w:val="00183E9E"/>
    <w:rsid w:val="0018546A"/>
    <w:rsid w:val="001A12BB"/>
    <w:rsid w:val="001B337F"/>
    <w:rsid w:val="001B5C33"/>
    <w:rsid w:val="001D763E"/>
    <w:rsid w:val="001D7E56"/>
    <w:rsid w:val="001E2365"/>
    <w:rsid w:val="002043BE"/>
    <w:rsid w:val="0023310E"/>
    <w:rsid w:val="002468F1"/>
    <w:rsid w:val="00247822"/>
    <w:rsid w:val="00251734"/>
    <w:rsid w:val="0025559F"/>
    <w:rsid w:val="00262BB6"/>
    <w:rsid w:val="00265325"/>
    <w:rsid w:val="00265B61"/>
    <w:rsid w:val="00265C2E"/>
    <w:rsid w:val="002722E9"/>
    <w:rsid w:val="0027627C"/>
    <w:rsid w:val="002B7807"/>
    <w:rsid w:val="002C6414"/>
    <w:rsid w:val="002E09CD"/>
    <w:rsid w:val="002F0A66"/>
    <w:rsid w:val="002F7246"/>
    <w:rsid w:val="00300B82"/>
    <w:rsid w:val="00312E36"/>
    <w:rsid w:val="00346BC9"/>
    <w:rsid w:val="00363DC9"/>
    <w:rsid w:val="0036541E"/>
    <w:rsid w:val="00367AE6"/>
    <w:rsid w:val="00376C8B"/>
    <w:rsid w:val="00383C65"/>
    <w:rsid w:val="0038502B"/>
    <w:rsid w:val="00385EFE"/>
    <w:rsid w:val="003A661F"/>
    <w:rsid w:val="003B1B4C"/>
    <w:rsid w:val="003B462B"/>
    <w:rsid w:val="003B60AF"/>
    <w:rsid w:val="003C0A71"/>
    <w:rsid w:val="003E6D96"/>
    <w:rsid w:val="003F159A"/>
    <w:rsid w:val="003F5F50"/>
    <w:rsid w:val="00413BA1"/>
    <w:rsid w:val="0041799B"/>
    <w:rsid w:val="00431087"/>
    <w:rsid w:val="0044607C"/>
    <w:rsid w:val="00454034"/>
    <w:rsid w:val="00460F8D"/>
    <w:rsid w:val="004610E4"/>
    <w:rsid w:val="00462AEA"/>
    <w:rsid w:val="00472512"/>
    <w:rsid w:val="00485C18"/>
    <w:rsid w:val="00490058"/>
    <w:rsid w:val="00491ECA"/>
    <w:rsid w:val="0049410A"/>
    <w:rsid w:val="004A4785"/>
    <w:rsid w:val="004B2DCC"/>
    <w:rsid w:val="004C338E"/>
    <w:rsid w:val="004C6392"/>
    <w:rsid w:val="004D12A4"/>
    <w:rsid w:val="004D1B87"/>
    <w:rsid w:val="004E5EDB"/>
    <w:rsid w:val="00506363"/>
    <w:rsid w:val="00512713"/>
    <w:rsid w:val="00524993"/>
    <w:rsid w:val="00541F87"/>
    <w:rsid w:val="00544CB8"/>
    <w:rsid w:val="005516B5"/>
    <w:rsid w:val="0055483F"/>
    <w:rsid w:val="00563E73"/>
    <w:rsid w:val="00567878"/>
    <w:rsid w:val="005716BB"/>
    <w:rsid w:val="00571B35"/>
    <w:rsid w:val="00580E1E"/>
    <w:rsid w:val="005817BE"/>
    <w:rsid w:val="00586E68"/>
    <w:rsid w:val="0059123D"/>
    <w:rsid w:val="005A1068"/>
    <w:rsid w:val="005A5364"/>
    <w:rsid w:val="005A711A"/>
    <w:rsid w:val="005B30C4"/>
    <w:rsid w:val="005C2B1E"/>
    <w:rsid w:val="005E4C80"/>
    <w:rsid w:val="00605D8E"/>
    <w:rsid w:val="006067AD"/>
    <w:rsid w:val="0061491D"/>
    <w:rsid w:val="006376E7"/>
    <w:rsid w:val="006436BA"/>
    <w:rsid w:val="00644F78"/>
    <w:rsid w:val="006558AB"/>
    <w:rsid w:val="0066178F"/>
    <w:rsid w:val="006833A5"/>
    <w:rsid w:val="00685E14"/>
    <w:rsid w:val="00687591"/>
    <w:rsid w:val="0069237B"/>
    <w:rsid w:val="0069467A"/>
    <w:rsid w:val="006A01DE"/>
    <w:rsid w:val="006A5146"/>
    <w:rsid w:val="006B4EFD"/>
    <w:rsid w:val="006C241A"/>
    <w:rsid w:val="006D7DC4"/>
    <w:rsid w:val="006E1E91"/>
    <w:rsid w:val="006F2CE4"/>
    <w:rsid w:val="0070277B"/>
    <w:rsid w:val="007039BE"/>
    <w:rsid w:val="00703D87"/>
    <w:rsid w:val="007102CE"/>
    <w:rsid w:val="00712B69"/>
    <w:rsid w:val="0071669E"/>
    <w:rsid w:val="00724064"/>
    <w:rsid w:val="00725E29"/>
    <w:rsid w:val="007305DA"/>
    <w:rsid w:val="00733060"/>
    <w:rsid w:val="00747F82"/>
    <w:rsid w:val="00773097"/>
    <w:rsid w:val="007A15B2"/>
    <w:rsid w:val="007B4243"/>
    <w:rsid w:val="007B48B1"/>
    <w:rsid w:val="007C1523"/>
    <w:rsid w:val="007C7506"/>
    <w:rsid w:val="007D797A"/>
    <w:rsid w:val="007E6276"/>
    <w:rsid w:val="007F6A51"/>
    <w:rsid w:val="007F6C39"/>
    <w:rsid w:val="00805302"/>
    <w:rsid w:val="008169BB"/>
    <w:rsid w:val="00820107"/>
    <w:rsid w:val="008208E1"/>
    <w:rsid w:val="00831D44"/>
    <w:rsid w:val="00834DD1"/>
    <w:rsid w:val="00835F06"/>
    <w:rsid w:val="0083603C"/>
    <w:rsid w:val="008401E5"/>
    <w:rsid w:val="00846429"/>
    <w:rsid w:val="00853F7D"/>
    <w:rsid w:val="0086017F"/>
    <w:rsid w:val="00860633"/>
    <w:rsid w:val="008A0171"/>
    <w:rsid w:val="008A3178"/>
    <w:rsid w:val="008B311C"/>
    <w:rsid w:val="008B5A52"/>
    <w:rsid w:val="008C3157"/>
    <w:rsid w:val="008D24A1"/>
    <w:rsid w:val="008D4AC3"/>
    <w:rsid w:val="008D675C"/>
    <w:rsid w:val="008E57C0"/>
    <w:rsid w:val="008F1F18"/>
    <w:rsid w:val="008F25B4"/>
    <w:rsid w:val="008F4F2A"/>
    <w:rsid w:val="009005A5"/>
    <w:rsid w:val="009006C2"/>
    <w:rsid w:val="00911F1C"/>
    <w:rsid w:val="00914950"/>
    <w:rsid w:val="00917257"/>
    <w:rsid w:val="0093025C"/>
    <w:rsid w:val="009371FA"/>
    <w:rsid w:val="00937864"/>
    <w:rsid w:val="00937915"/>
    <w:rsid w:val="00945C9D"/>
    <w:rsid w:val="00956090"/>
    <w:rsid w:val="00967413"/>
    <w:rsid w:val="0097462C"/>
    <w:rsid w:val="00984137"/>
    <w:rsid w:val="00994905"/>
    <w:rsid w:val="0099666B"/>
    <w:rsid w:val="009A5517"/>
    <w:rsid w:val="009A5856"/>
    <w:rsid w:val="009A5961"/>
    <w:rsid w:val="009B4CE7"/>
    <w:rsid w:val="009C08EF"/>
    <w:rsid w:val="009C2AA9"/>
    <w:rsid w:val="009C447D"/>
    <w:rsid w:val="009D1BC0"/>
    <w:rsid w:val="009E327F"/>
    <w:rsid w:val="009F198E"/>
    <w:rsid w:val="009F60F6"/>
    <w:rsid w:val="00A327D8"/>
    <w:rsid w:val="00A36FFF"/>
    <w:rsid w:val="00A43DF1"/>
    <w:rsid w:val="00A518FC"/>
    <w:rsid w:val="00A6010E"/>
    <w:rsid w:val="00A60993"/>
    <w:rsid w:val="00A63E28"/>
    <w:rsid w:val="00A75BE9"/>
    <w:rsid w:val="00A80AC8"/>
    <w:rsid w:val="00A95DA6"/>
    <w:rsid w:val="00AA6F14"/>
    <w:rsid w:val="00AB647F"/>
    <w:rsid w:val="00AC3312"/>
    <w:rsid w:val="00AC6955"/>
    <w:rsid w:val="00AE7CE4"/>
    <w:rsid w:val="00AF271F"/>
    <w:rsid w:val="00AF35AB"/>
    <w:rsid w:val="00AF3F59"/>
    <w:rsid w:val="00B21D61"/>
    <w:rsid w:val="00B223F2"/>
    <w:rsid w:val="00B24413"/>
    <w:rsid w:val="00B340C4"/>
    <w:rsid w:val="00B35979"/>
    <w:rsid w:val="00B47175"/>
    <w:rsid w:val="00B50914"/>
    <w:rsid w:val="00B525F4"/>
    <w:rsid w:val="00B56B87"/>
    <w:rsid w:val="00B73AF5"/>
    <w:rsid w:val="00B73F87"/>
    <w:rsid w:val="00BD468E"/>
    <w:rsid w:val="00BE4CE8"/>
    <w:rsid w:val="00C1070F"/>
    <w:rsid w:val="00C5011D"/>
    <w:rsid w:val="00C527F0"/>
    <w:rsid w:val="00C72FC7"/>
    <w:rsid w:val="00C76654"/>
    <w:rsid w:val="00C83721"/>
    <w:rsid w:val="00C87F08"/>
    <w:rsid w:val="00C949F2"/>
    <w:rsid w:val="00CA3767"/>
    <w:rsid w:val="00CA3C2F"/>
    <w:rsid w:val="00CB0149"/>
    <w:rsid w:val="00CC6E32"/>
    <w:rsid w:val="00CD3666"/>
    <w:rsid w:val="00CD58D6"/>
    <w:rsid w:val="00CE70D3"/>
    <w:rsid w:val="00CF4733"/>
    <w:rsid w:val="00CF49B6"/>
    <w:rsid w:val="00D37D92"/>
    <w:rsid w:val="00D5076F"/>
    <w:rsid w:val="00D571D9"/>
    <w:rsid w:val="00D579AE"/>
    <w:rsid w:val="00D607F8"/>
    <w:rsid w:val="00D66E35"/>
    <w:rsid w:val="00D764C5"/>
    <w:rsid w:val="00D778CD"/>
    <w:rsid w:val="00D82502"/>
    <w:rsid w:val="00D83BDC"/>
    <w:rsid w:val="00D83D99"/>
    <w:rsid w:val="00D8660C"/>
    <w:rsid w:val="00D879F9"/>
    <w:rsid w:val="00D96BD3"/>
    <w:rsid w:val="00DA4CDF"/>
    <w:rsid w:val="00DA4F8D"/>
    <w:rsid w:val="00DB0848"/>
    <w:rsid w:val="00DB2354"/>
    <w:rsid w:val="00DB3BB8"/>
    <w:rsid w:val="00DC49BA"/>
    <w:rsid w:val="00DC5CE9"/>
    <w:rsid w:val="00DD2DF5"/>
    <w:rsid w:val="00E1468B"/>
    <w:rsid w:val="00E177F7"/>
    <w:rsid w:val="00E205DD"/>
    <w:rsid w:val="00E427C5"/>
    <w:rsid w:val="00E52789"/>
    <w:rsid w:val="00E53DBD"/>
    <w:rsid w:val="00E57F8A"/>
    <w:rsid w:val="00E610E2"/>
    <w:rsid w:val="00E8390C"/>
    <w:rsid w:val="00E857D4"/>
    <w:rsid w:val="00EB19E5"/>
    <w:rsid w:val="00EC4E24"/>
    <w:rsid w:val="00ED027B"/>
    <w:rsid w:val="00ED1890"/>
    <w:rsid w:val="00ED5CFC"/>
    <w:rsid w:val="00ED7DE0"/>
    <w:rsid w:val="00F037C6"/>
    <w:rsid w:val="00F1786F"/>
    <w:rsid w:val="00F4412B"/>
    <w:rsid w:val="00F45A62"/>
    <w:rsid w:val="00F5770F"/>
    <w:rsid w:val="00F82854"/>
    <w:rsid w:val="00F902A8"/>
    <w:rsid w:val="00FA326B"/>
    <w:rsid w:val="00FA38CD"/>
    <w:rsid w:val="00FB287A"/>
    <w:rsid w:val="00FB59CC"/>
    <w:rsid w:val="00FC1543"/>
    <w:rsid w:val="00FD510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  <w14:docId w14:val="0E664530"/>
  <w15:docId w15:val="{03429CB6-9C0C-4540-969A-CD3B4712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58AB"/>
    <w:pPr>
      <w:keepNext/>
      <w:spacing w:after="0"/>
      <w:contextualSpacing/>
      <w:outlineLvl w:val="3"/>
    </w:pPr>
    <w:rPr>
      <w:rFonts w:ascii="Verdana" w:hAnsi="Verdana" w:cs="Times New Roman"/>
      <w:i/>
      <w:szCs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8546A"/>
    <w:pPr>
      <w:keepNext/>
      <w:spacing w:after="0" w:line="280" w:lineRule="exact"/>
      <w:outlineLvl w:val="4"/>
    </w:pPr>
    <w:rPr>
      <w:rFonts w:ascii="Verdana" w:hAnsi="Verdana"/>
      <w:b/>
      <w:i/>
      <w:color w:val="333333"/>
      <w:szCs w:val="20"/>
      <w:shd w:val="clear" w:color="auto" w:fill="FFFFF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8D24A1"/>
    <w:pPr>
      <w:keepNext/>
      <w:spacing w:after="0" w:line="280" w:lineRule="exact"/>
      <w:contextualSpacing/>
      <w:outlineLvl w:val="5"/>
    </w:pPr>
    <w:rPr>
      <w:i/>
      <w:szCs w:val="2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558AB"/>
    <w:rPr>
      <w:rFonts w:ascii="Verdana" w:hAnsi="Verdana" w:cs="Times New Roman"/>
      <w:i/>
      <w:sz w:val="20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558AB"/>
    <w:pPr>
      <w:spacing w:after="0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558A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558AB"/>
    <w:rPr>
      <w:vertAlign w:val="superscript"/>
    </w:rPr>
  </w:style>
  <w:style w:type="paragraph" w:styleId="Brdtekst">
    <w:name w:val="Body Text"/>
    <w:basedOn w:val="Normal"/>
    <w:link w:val="BrdtekstTegn"/>
    <w:uiPriority w:val="99"/>
    <w:unhideWhenUsed/>
    <w:rsid w:val="006558AB"/>
    <w:pPr>
      <w:spacing w:after="0"/>
      <w:contextualSpacing/>
    </w:pPr>
    <w:rPr>
      <w:rFonts w:ascii="Verdana" w:hAnsi="Verdana"/>
      <w:color w:val="333333"/>
      <w:sz w:val="18"/>
      <w:szCs w:val="18"/>
      <w:shd w:val="clear" w:color="auto" w:fill="FFFFFF"/>
    </w:rPr>
  </w:style>
  <w:style w:type="character" w:customStyle="1" w:styleId="BrdtekstTegn">
    <w:name w:val="Brødtekst Tegn"/>
    <w:basedOn w:val="Standardskrifttypeiafsnit"/>
    <w:link w:val="Brdtekst"/>
    <w:uiPriority w:val="99"/>
    <w:rsid w:val="006558AB"/>
    <w:rPr>
      <w:rFonts w:ascii="Verdana" w:hAnsi="Verdana"/>
      <w:color w:val="333333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6067AD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06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516B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516B5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516B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5516B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5516B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61491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61491D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61491D"/>
    <w:rPr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8546A"/>
    <w:rPr>
      <w:rFonts w:ascii="Verdana" w:hAnsi="Verdana"/>
      <w:b/>
      <w:i/>
      <w:color w:val="333333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unhideWhenUsed/>
    <w:rsid w:val="008401E5"/>
    <w:pPr>
      <w:spacing w:after="0"/>
    </w:pPr>
    <w:rPr>
      <w:rFonts w:ascii="Verdana" w:hAnsi="Verdana" w:cs="Times New Roman"/>
      <w:szCs w:val="20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8401E5"/>
    <w:rPr>
      <w:rFonts w:ascii="Verdana" w:hAnsi="Verdana" w:cs="Times New Roman"/>
      <w:sz w:val="20"/>
      <w:szCs w:val="2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06363"/>
    <w:pPr>
      <w:spacing w:after="0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06363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06363"/>
    <w:rPr>
      <w:vertAlign w:val="superscript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8D24A1"/>
    <w:rPr>
      <w:i/>
      <w:sz w:val="20"/>
      <w:szCs w:val="20"/>
      <w:u w:val="single"/>
    </w:rPr>
  </w:style>
  <w:style w:type="character" w:styleId="Strk">
    <w:name w:val="Strong"/>
    <w:basedOn w:val="Standardskrifttypeiafsnit"/>
    <w:uiPriority w:val="22"/>
    <w:qFormat/>
    <w:rsid w:val="00773097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580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cg.dk/okonom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han@sundk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afrn@sundk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mcg.dk/okonom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dk@sundk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F4665-F1BF-4C95-B235-A6B934F35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Sigsgaard Hansen</dc:creator>
  <cp:lastModifiedBy>Dorrit Andersen</cp:lastModifiedBy>
  <cp:revision>3</cp:revision>
  <dcterms:created xsi:type="dcterms:W3CDTF">2025-02-04T14:26:00Z</dcterms:created>
  <dcterms:modified xsi:type="dcterms:W3CDTF">2025-02-04T14:38:00Z</dcterms:modified>
</cp:coreProperties>
</file>